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EBW-2025-009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Kanalsanierung 2025/2026 in der Maler- &amp; Vogelsiedlung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 xml:space="preserve">Die Entsorgungsbetriebe Wesseling planen die Instandsetzung mehrerer Kanalhaltungen durch eine grabenlose Kanalsanierung. 
Da die Haltungen in einem eng besiedelten Gebiet liegen, soll die Sanierung durch Liner erfolgen. 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